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9E2054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9E2054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proofErr w:type="spellStart"/>
      <w:r w:rsidR="000B30F3">
        <w:rPr>
          <w:rFonts w:eastAsia="Times New Roman"/>
          <w:b/>
          <w:bCs/>
          <w:sz w:val="20"/>
          <w:szCs w:val="20"/>
        </w:rPr>
        <w:t>Бессарабенко</w:t>
      </w:r>
      <w:proofErr w:type="spellEnd"/>
      <w:r w:rsidR="000B30F3">
        <w:rPr>
          <w:rFonts w:eastAsia="Times New Roman"/>
          <w:b/>
          <w:bCs/>
          <w:sz w:val="20"/>
          <w:szCs w:val="20"/>
        </w:rPr>
        <w:t xml:space="preserve">, д. </w:t>
      </w:r>
      <w:r w:rsidR="00E36E17">
        <w:rPr>
          <w:rFonts w:eastAsia="Times New Roman"/>
          <w:b/>
          <w:bCs/>
          <w:sz w:val="20"/>
          <w:szCs w:val="20"/>
        </w:rPr>
        <w:t xml:space="preserve">4, к. </w:t>
      </w:r>
      <w:r w:rsidR="00BD05A2" w:rsidRPr="009E2054">
        <w:rPr>
          <w:rFonts w:eastAsia="Times New Roman"/>
          <w:b/>
          <w:bCs/>
          <w:sz w:val="20"/>
          <w:szCs w:val="20"/>
        </w:rPr>
        <w:t>2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6E1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3530" w:rsidP="00F3353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05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15.02.2006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6E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06.03.2006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6E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BD05A2" w:rsidRDefault="000B30F3" w:rsidP="00BD05A2">
            <w:pPr>
              <w:ind w:left="80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Бессарабенко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д. </w:t>
            </w:r>
            <w:r w:rsidR="00E36E17">
              <w:rPr>
                <w:rFonts w:eastAsia="Times New Roman"/>
                <w:sz w:val="20"/>
                <w:szCs w:val="20"/>
              </w:rPr>
              <w:t xml:space="preserve">4, к. </w:t>
            </w:r>
            <w:r w:rsidR="00BD05A2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7468B1" w:rsidP="0069729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0B30F3"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E36E17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7468B1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0B30F3"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E36E17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E36E17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85-05.06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BD05A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BD05A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BD05A2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3530" w:rsidP="009B6B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shd w:val="clear" w:color="auto" w:fill="FFFFFF"/>
              </w:rPr>
              <w:t>3802.1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3530" w:rsidP="009B6B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2719.4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F33530" w:rsidP="009B6B89">
            <w:pPr>
              <w:ind w:left="100"/>
              <w:jc w:val="center"/>
              <w:rPr>
                <w:lang w:val="en-US"/>
              </w:rPr>
            </w:pPr>
            <w:r w:rsidRPr="00F33530">
              <w:rPr>
                <w:rFonts w:eastAsia="Times New Roman"/>
                <w:sz w:val="20"/>
                <w:szCs w:val="20"/>
              </w:rPr>
              <w:t>903.6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D05A2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13:60:0010002:267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D05A2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1068.00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D05A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33530" w:rsidRDefault="00F33530" w:rsidP="001A269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88D" w:rsidRPr="008F73D5" w:rsidRDefault="000B30F3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05A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626.20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6E1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D05A2" w:rsidRDefault="00BD05A2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AB0CEA" w:rsidRPr="00E95C1F" w:rsidRDefault="00AB0CEA">
      <w:pPr>
        <w:spacing w:line="226" w:lineRule="exact"/>
        <w:rPr>
          <w:sz w:val="20"/>
          <w:szCs w:val="20"/>
          <w:lang w:val="en-US"/>
        </w:rPr>
      </w:pPr>
    </w:p>
    <w:p w:rsidR="004D52D9" w:rsidRPr="009E2054" w:rsidRDefault="004D52D9" w:rsidP="00E95C1F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245E31" w:rsidRPr="009E2054" w:rsidRDefault="00245E31" w:rsidP="00E95C1F">
      <w:pPr>
        <w:ind w:left="800"/>
        <w:rPr>
          <w:sz w:val="20"/>
          <w:szCs w:val="20"/>
        </w:rPr>
      </w:pPr>
    </w:p>
    <w:p w:rsidR="00245E31" w:rsidRPr="009E2054" w:rsidRDefault="00245E31" w:rsidP="00E95C1F">
      <w:pPr>
        <w:ind w:left="800"/>
        <w:rPr>
          <w:sz w:val="20"/>
          <w:szCs w:val="20"/>
        </w:rPr>
      </w:pPr>
    </w:p>
    <w:p w:rsidR="00245E31" w:rsidRDefault="00245E31" w:rsidP="00245E3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245E31" w:rsidRPr="009E2054" w:rsidRDefault="00245E31" w:rsidP="00E95C1F">
      <w:pPr>
        <w:ind w:left="800"/>
        <w:rPr>
          <w:sz w:val="20"/>
          <w:szCs w:val="20"/>
        </w:rPr>
      </w:pPr>
    </w:p>
    <w:p w:rsidR="00245E31" w:rsidRPr="009E2054" w:rsidRDefault="00245E31" w:rsidP="00E95C1F">
      <w:pPr>
        <w:ind w:left="800"/>
        <w:rPr>
          <w:sz w:val="20"/>
          <w:szCs w:val="20"/>
        </w:rPr>
      </w:pPr>
    </w:p>
    <w:p w:rsidR="00245E31" w:rsidRPr="009E2054" w:rsidRDefault="00245E31" w:rsidP="00245E31">
      <w:pPr>
        <w:rPr>
          <w:sz w:val="20"/>
          <w:szCs w:val="20"/>
        </w:rPr>
      </w:pPr>
    </w:p>
    <w:p w:rsidR="00245E31" w:rsidRPr="009E2054" w:rsidRDefault="00245E31" w:rsidP="00E95C1F">
      <w:pPr>
        <w:ind w:left="800"/>
        <w:rPr>
          <w:sz w:val="20"/>
          <w:szCs w:val="20"/>
        </w:rPr>
      </w:pPr>
    </w:p>
    <w:p w:rsidR="00245E31" w:rsidRPr="009E2054" w:rsidRDefault="00245E31" w:rsidP="00E95C1F">
      <w:pPr>
        <w:ind w:left="800"/>
        <w:rPr>
          <w:sz w:val="20"/>
          <w:szCs w:val="20"/>
        </w:rPr>
      </w:pPr>
    </w:p>
    <w:p w:rsidR="004D52D9" w:rsidRPr="009E2054" w:rsidRDefault="004D52D9" w:rsidP="00E95C1F">
      <w:pPr>
        <w:ind w:left="80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245E31" w:rsidRPr="009E2054" w:rsidRDefault="00245E31" w:rsidP="00E95C1F">
      <w:pPr>
        <w:ind w:left="80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33530" w:rsidRDefault="00F3353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0B30F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78A3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E36E1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27.12.2013</w:t>
            </w:r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E2054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E2054" w:rsidRDefault="009878A3" w:rsidP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E2054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E2054" w:rsidRDefault="009878A3" w:rsidP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D6089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9"/>
                <w:szCs w:val="19"/>
                <w:shd w:val="clear" w:color="auto" w:fill="FFFFFF"/>
              </w:rPr>
              <w:t>04.04.2019</w:t>
            </w:r>
          </w:p>
        </w:tc>
      </w:tr>
    </w:tbl>
    <w:p w:rsidR="004D52D9" w:rsidRPr="009878A3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9878A3" w:rsidTr="00B670E0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878A3" w:rsidTr="00B670E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32388D" w:rsidRDefault="009878A3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878A3" w:rsidTr="00B670E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878A3" w:rsidTr="00B670E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9878A3" w:rsidTr="00B670E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E36E1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30.05.2013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878A3" w:rsidRDefault="009878A3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E36E1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E36E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245E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BD05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  <w:p w:rsidR="009878A3" w:rsidRDefault="009878A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9878A3" w:rsidRDefault="009878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78A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878A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BD05A2" w:rsidRDefault="00BD05A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878A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8F6A7F" w:rsidRDefault="00BD05A2" w:rsidP="002530F0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878A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131AC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8F73D5" w:rsidRDefault="00E36E17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7468B1" w:rsidRDefault="007468B1" w:rsidP="003D2C9C">
      <w:pPr>
        <w:rPr>
          <w:rFonts w:eastAsia="Times New Roman"/>
          <w:sz w:val="20"/>
          <w:szCs w:val="20"/>
          <w:lang w:val="en-US"/>
        </w:rPr>
      </w:pPr>
    </w:p>
    <w:p w:rsidR="003D2C9C" w:rsidRPr="003D2C9C" w:rsidRDefault="003D2C9C" w:rsidP="003D2C9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8"/>
        <w:gridCol w:w="6375"/>
        <w:gridCol w:w="837"/>
        <w:gridCol w:w="963"/>
        <w:gridCol w:w="1312"/>
        <w:gridCol w:w="1352"/>
      </w:tblGrid>
      <w:tr w:rsidR="004D52D9" w:rsidTr="00837533">
        <w:trPr>
          <w:trHeight w:val="427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</w:pPr>
            <w:proofErr w:type="spell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AC551F" w:rsidTr="00F33530">
        <w:trPr>
          <w:trHeight w:val="14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73 140,48</w:t>
            </w:r>
          </w:p>
        </w:tc>
      </w:tr>
      <w:tr w:rsidR="00AC551F" w:rsidTr="00F33530">
        <w:trPr>
          <w:trHeight w:val="29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68 895,72</w:t>
            </w:r>
          </w:p>
        </w:tc>
      </w:tr>
      <w:tr w:rsidR="00AC551F" w:rsidTr="00F33530">
        <w:trPr>
          <w:trHeight w:val="89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107 098,56</w:t>
            </w:r>
          </w:p>
        </w:tc>
      </w:tr>
      <w:tr w:rsidR="00AC551F" w:rsidTr="00F33530">
        <w:trPr>
          <w:trHeight w:val="89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98 935,56</w:t>
            </w:r>
          </w:p>
        </w:tc>
      </w:tr>
      <w:tr w:rsidR="00AC551F" w:rsidTr="00F33530">
        <w:trPr>
          <w:trHeight w:val="22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10 775,16</w:t>
            </w:r>
          </w:p>
        </w:tc>
      </w:tr>
      <w:tr w:rsidR="00AC551F" w:rsidTr="00F33530">
        <w:trPr>
          <w:trHeight w:val="17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38 855,88</w:t>
            </w:r>
          </w:p>
        </w:tc>
      </w:tr>
      <w:tr w:rsidR="00AC551F" w:rsidTr="00F33530">
        <w:trPr>
          <w:trHeight w:val="677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176 647,32</w:t>
            </w:r>
          </w:p>
        </w:tc>
      </w:tr>
      <w:tr w:rsidR="00AC551F" w:rsidTr="00F33530">
        <w:trPr>
          <w:trHeight w:val="99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213 870,60</w:t>
            </w:r>
          </w:p>
        </w:tc>
      </w:tr>
      <w:tr w:rsidR="00AC551F" w:rsidTr="00F33530">
        <w:trPr>
          <w:trHeight w:val="7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27 754,20</w:t>
            </w:r>
          </w:p>
        </w:tc>
      </w:tr>
      <w:tr w:rsidR="00AC551F" w:rsidTr="00F33530">
        <w:trPr>
          <w:trHeight w:val="235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815 973,48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 w:rsidP="003D2C9C">
      <w:pPr>
        <w:rPr>
          <w:rFonts w:eastAsia="Times New Roman"/>
          <w:sz w:val="20"/>
          <w:szCs w:val="20"/>
          <w:lang w:val="en-US"/>
        </w:rPr>
      </w:pPr>
    </w:p>
    <w:p w:rsidR="00AC551F" w:rsidRDefault="00AC551F" w:rsidP="003D2C9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6516" w:rsidP="00AC551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530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BF7B04">
              <w:rPr>
                <w:sz w:val="20"/>
                <w:szCs w:val="20"/>
              </w:rPr>
              <w:t>7</w:t>
            </w:r>
            <w:r w:rsidR="002530F0">
              <w:rPr>
                <w:sz w:val="20"/>
                <w:szCs w:val="20"/>
              </w:rPr>
              <w:t>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  <w:r w:rsidR="002530F0"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AC551F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1916</w:t>
            </w:r>
            <w:r w:rsidR="004D52D9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AC551F" w:rsidRDefault="004D52D9" w:rsidP="00AC551F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AC551F" w:rsidRPr="00AC551F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="00AC551F" w:rsidRPr="00AC551F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AC551F" w:rsidRPr="00AC551F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AC551F" w:rsidRPr="00AC551F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C551F" w:rsidP="00AC551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E742FB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E742FB" w:rsidRPr="007C297A">
              <w:rPr>
                <w:sz w:val="20"/>
                <w:szCs w:val="20"/>
              </w:rPr>
              <w:t>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E742FB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AC551F">
              <w:rPr>
                <w:sz w:val="20"/>
                <w:szCs w:val="20"/>
                <w:lang w:val="en-US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AC551F">
              <w:rPr>
                <w:sz w:val="20"/>
                <w:szCs w:val="20"/>
                <w:lang w:val="en-US"/>
              </w:rPr>
              <w:t>33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AC551F">
              <w:rPr>
                <w:rFonts w:eastAsia="Times New Roman"/>
                <w:sz w:val="20"/>
                <w:szCs w:val="20"/>
                <w:lang w:val="en-US"/>
              </w:rPr>
              <w:t>84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AC551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AC551F" w:rsidRPr="00AC551F">
              <w:rPr>
                <w:rFonts w:eastAsia="Times New Roman"/>
                <w:sz w:val="20"/>
                <w:szCs w:val="20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="00AC551F" w:rsidRPr="00AC551F">
              <w:rPr>
                <w:rFonts w:eastAsia="Times New Roman"/>
                <w:sz w:val="20"/>
                <w:szCs w:val="20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AC551F" w:rsidRPr="00AC551F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AC551F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</w:t>
            </w:r>
            <w:r w:rsidR="00E742FB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742FB" w:rsidP="00AC551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AC551F">
              <w:rPr>
                <w:rFonts w:eastAsia="Times New Roman"/>
                <w:sz w:val="20"/>
                <w:szCs w:val="20"/>
                <w:lang w:val="en-US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AC551F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AC551F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6249</w:t>
            </w:r>
            <w:r w:rsidR="00E742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AC551F" w:rsidRPr="00E90BE5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Pr="00E90BE5" w:rsidRDefault="00AC551F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90BE5">
              <w:rPr>
                <w:rFonts w:eastAsia="Times New Roman"/>
                <w:sz w:val="20"/>
                <w:szCs w:val="20"/>
              </w:rPr>
              <w:t>3</w:t>
            </w:r>
            <w:r w:rsidR="0099249D" w:rsidRPr="00967D3D">
              <w:rPr>
                <w:rFonts w:eastAsia="Times New Roman"/>
                <w:sz w:val="20"/>
                <w:szCs w:val="20"/>
              </w:rPr>
              <w:t>1</w:t>
            </w:r>
            <w:r w:rsidR="002530F0">
              <w:rPr>
                <w:rFonts w:eastAsia="Times New Roman"/>
                <w:sz w:val="20"/>
                <w:szCs w:val="20"/>
              </w:rPr>
              <w:t>.0</w:t>
            </w:r>
            <w:r w:rsidRPr="00E90BE5">
              <w:rPr>
                <w:rFonts w:eastAsia="Times New Roman"/>
                <w:sz w:val="20"/>
                <w:szCs w:val="20"/>
              </w:rPr>
              <w:t>7</w:t>
            </w:r>
            <w:r w:rsidR="002530F0">
              <w:rPr>
                <w:rFonts w:eastAsia="Times New Roman"/>
                <w:sz w:val="20"/>
                <w:szCs w:val="20"/>
              </w:rPr>
              <w:t>.20</w:t>
            </w:r>
            <w:r w:rsidRPr="00E90BE5">
              <w:rPr>
                <w:rFonts w:eastAsia="Times New Roman"/>
                <w:sz w:val="20"/>
                <w:szCs w:val="20"/>
              </w:rPr>
              <w:t>20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E742FB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8B7B4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8B7B40" w:rsidTr="008B7B40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7B40" w:rsidRDefault="008B7B40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7B40" w:rsidRDefault="008B7B40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7B40" w:rsidRDefault="008B7B40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7B40" w:rsidRDefault="008B7B4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B7B40" w:rsidRDefault="008B7B40" w:rsidP="00B670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7B40" w:rsidRDefault="008B7B4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8B7B40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AC551F" w:rsidP="00AC551F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31</w:t>
            </w:r>
            <w:r w:rsidR="00E742FB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E742FB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AC55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AC551F">
              <w:rPr>
                <w:rFonts w:eastAsia="Times New Roman"/>
                <w:sz w:val="20"/>
                <w:szCs w:val="20"/>
                <w:lang w:val="en-US"/>
              </w:rPr>
              <w:t>28</w:t>
            </w:r>
            <w:r w:rsidR="00E742FB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</w:t>
            </w:r>
            <w:r w:rsidR="00AC551F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1</w:t>
            </w:r>
            <w:r w:rsidR="00E742FB">
              <w:rPr>
                <w:sz w:val="20"/>
                <w:szCs w:val="20"/>
              </w:rPr>
              <w:t>2</w:t>
            </w:r>
            <w:r w:rsidR="00AC551F">
              <w:rPr>
                <w:sz w:val="20"/>
                <w:szCs w:val="20"/>
                <w:lang w:val="en-US"/>
              </w:rPr>
              <w:t>6</w:t>
            </w:r>
            <w:r w:rsidRPr="007C297A">
              <w:rPr>
                <w:sz w:val="20"/>
                <w:szCs w:val="20"/>
              </w:rPr>
              <w:t>,</w:t>
            </w:r>
            <w:r w:rsidR="00AC551F">
              <w:rPr>
                <w:sz w:val="20"/>
                <w:szCs w:val="20"/>
                <w:lang w:val="en-US"/>
              </w:rPr>
              <w:t>53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AC551F" w:rsidRDefault="004D52D9" w:rsidP="00AC551F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AC551F" w:rsidRPr="00AC551F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="00AC551F" w:rsidRPr="00AC551F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AC551F" w:rsidRPr="00AC551F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AC551F" w:rsidRPr="00AC551F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C551F" w:rsidP="00AC551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E742FB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E742FB"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AC551F" w:rsidRDefault="00BF5C6C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AC551F">
              <w:rPr>
                <w:sz w:val="20"/>
                <w:szCs w:val="20"/>
                <w:lang w:val="en-US"/>
              </w:rPr>
              <w:t>58</w:t>
            </w:r>
            <w:r w:rsidR="00E742FB" w:rsidRPr="007C297A">
              <w:rPr>
                <w:sz w:val="20"/>
                <w:szCs w:val="20"/>
              </w:rPr>
              <w:t>/</w:t>
            </w:r>
            <w:r w:rsidR="00AC551F">
              <w:rPr>
                <w:sz w:val="20"/>
                <w:szCs w:val="20"/>
                <w:lang w:val="en-US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EA7ED1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AC551F">
              <w:rPr>
                <w:sz w:val="20"/>
                <w:szCs w:val="20"/>
                <w:lang w:val="en-US"/>
              </w:rPr>
              <w:t>1</w:t>
            </w:r>
            <w:r w:rsidR="004D52D9">
              <w:rPr>
                <w:sz w:val="20"/>
                <w:szCs w:val="20"/>
              </w:rPr>
              <w:t>,</w:t>
            </w:r>
            <w:r w:rsidR="00AC551F">
              <w:rPr>
                <w:sz w:val="20"/>
                <w:szCs w:val="20"/>
                <w:lang w:val="en-US"/>
              </w:rPr>
              <w:t>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Pr="00AC551F" w:rsidRDefault="004D52D9" w:rsidP="00AC551F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AC551F" w:rsidRPr="00AC551F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AC551F" w:rsidRPr="00AC551F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AC551F" w:rsidRPr="00AC551F">
              <w:rPr>
                <w:sz w:val="19"/>
                <w:szCs w:val="19"/>
              </w:rPr>
              <w:t>58</w:t>
            </w:r>
            <w:r w:rsidR="00EA7ED1" w:rsidRPr="00EA7ED1">
              <w:rPr>
                <w:sz w:val="19"/>
                <w:szCs w:val="19"/>
              </w:rPr>
              <w:t>/</w:t>
            </w:r>
            <w:r w:rsidR="00AC551F" w:rsidRPr="00AC551F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C551F" w:rsidP="00AC551F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05</w:t>
            </w:r>
            <w:r w:rsidR="00EA7ED1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 w:rsidR="00EA7ED1">
              <w:rPr>
                <w:sz w:val="19"/>
                <w:szCs w:val="19"/>
              </w:rPr>
              <w:t>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C551F">
              <w:rPr>
                <w:sz w:val="19"/>
                <w:szCs w:val="19"/>
                <w:lang w:val="en-US"/>
              </w:rPr>
              <w:t>58</w:t>
            </w:r>
            <w:r w:rsidR="00EA7ED1" w:rsidRPr="00EA7ED1">
              <w:rPr>
                <w:sz w:val="19"/>
                <w:szCs w:val="19"/>
              </w:rPr>
              <w:t>/</w:t>
            </w:r>
            <w:r w:rsidR="00AC551F">
              <w:rPr>
                <w:sz w:val="19"/>
                <w:szCs w:val="19"/>
                <w:lang w:val="en-US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60"/>
        <w:gridCol w:w="2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AC551F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 w:rsidR="004D52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4D52D9" w:rsidTr="00BD05A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Pr="00AC551F" w:rsidRDefault="004D52D9" w:rsidP="00AC551F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AC551F" w:rsidRPr="00AC551F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AC551F" w:rsidRPr="00AC551F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AC551F" w:rsidRPr="00AC551F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AC551F" w:rsidRPr="00AC551F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C551F" w:rsidP="00AC551F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05</w:t>
            </w:r>
            <w:r w:rsidR="00EA7ED1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 w:rsidR="00EA7ED1">
              <w:rPr>
                <w:sz w:val="19"/>
                <w:szCs w:val="19"/>
              </w:rPr>
              <w:t>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C551F">
              <w:rPr>
                <w:sz w:val="19"/>
                <w:szCs w:val="19"/>
                <w:lang w:val="en-US"/>
              </w:rPr>
              <w:t>58</w:t>
            </w:r>
            <w:r w:rsidR="00EA7ED1">
              <w:rPr>
                <w:sz w:val="19"/>
                <w:szCs w:val="19"/>
              </w:rPr>
              <w:t>/</w:t>
            </w:r>
            <w:r w:rsidR="00AC551F">
              <w:rPr>
                <w:sz w:val="19"/>
                <w:szCs w:val="19"/>
                <w:lang w:val="en-US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53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3E6AF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 w:rsidR="00B670E0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B670E0">
              <w:rPr>
                <w:sz w:val="20"/>
                <w:szCs w:val="20"/>
                <w:lang w:val="en-US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AC551F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C551F" w:rsidRDefault="004D52D9" w:rsidP="00AC551F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AC551F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AC55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815973,60</w:t>
            </w:r>
          </w:p>
        </w:tc>
      </w:tr>
      <w:tr w:rsidR="004D52D9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21" w:lineRule="exact"/>
        <w:rPr>
          <w:sz w:val="20"/>
          <w:szCs w:val="20"/>
          <w:lang w:val="en-US"/>
        </w:rPr>
      </w:pPr>
    </w:p>
    <w:p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213" w:type="dxa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"/>
        <w:gridCol w:w="567"/>
        <w:gridCol w:w="258"/>
        <w:gridCol w:w="2900"/>
        <w:gridCol w:w="528"/>
        <w:gridCol w:w="447"/>
        <w:gridCol w:w="403"/>
        <w:gridCol w:w="851"/>
        <w:gridCol w:w="1646"/>
        <w:gridCol w:w="55"/>
        <w:gridCol w:w="1276"/>
        <w:gridCol w:w="2232"/>
        <w:gridCol w:w="20"/>
        <w:gridCol w:w="16"/>
      </w:tblGrid>
      <w:tr w:rsidR="004D52D9" w:rsidTr="0099249D">
        <w:trPr>
          <w:gridBefore w:val="1"/>
          <w:gridAfter w:val="1"/>
          <w:wBefore w:w="14" w:type="dxa"/>
          <w:wAfter w:w="16" w:type="dxa"/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670E0" w:rsidRDefault="00AC55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818285,53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C551F">
            <w:pPr>
              <w:snapToGrid w:val="0"/>
              <w:ind w:left="80"/>
              <w:rPr>
                <w:sz w:val="20"/>
                <w:szCs w:val="20"/>
              </w:rPr>
            </w:pPr>
            <w:r>
              <w:t>818285,53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B670E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9249D">
        <w:trPr>
          <w:gridBefore w:val="1"/>
          <w:gridAfter w:val="1"/>
          <w:wBefore w:w="14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70E0" w:rsidRDefault="00AC551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97985,86</w:t>
            </w:r>
          </w:p>
        </w:tc>
      </w:tr>
      <w:tr w:rsidR="004D52D9" w:rsidTr="00992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4" w:type="dxa"/>
          <w:wAfter w:w="36" w:type="dxa"/>
          <w:trHeight w:val="446"/>
        </w:trPr>
        <w:tc>
          <w:tcPr>
            <w:tcW w:w="1116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99249D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9249D" w:rsidRPr="0099249D" w:rsidRDefault="0099249D" w:rsidP="0099249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9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73 140,48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7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контроль за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8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6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68 895,72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3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107 098,56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98 935,56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10 775,16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38 855,88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27 754,20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3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323 017,88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крыш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1,78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58 242,79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145,94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437,82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обделок из листовой стали: поясков,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сандриков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отливов, карнизов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496,04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16 865,33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13 059,06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3" w:hAnsi="Arial3" w:cs="Arial" w:hint="eastAsi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18"/>
                <w:szCs w:val="18"/>
              </w:rPr>
              <w:t>11,12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1 779,20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394,86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22 112,18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257,55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2 060,40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кровель рулонных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3" w:hAnsi="Arial3" w:cs="Arial" w:hint="eastAsia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1 928,81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17 823,05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Заделка трещин в кирпичных стенах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цементным раствором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131,90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1 648,75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кладки стен отдельными местами: кирпичной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21 960,02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439,20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 стен по камню и бетону цементным раствором до 1м2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1 020,99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1 531,48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Отбивание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слабодержащегося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штукатурного слоя стен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276,82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415,22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стен фасада с земли и лесов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80,25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1 123,46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226,28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табличек  с указанием дома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1 292,21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1 292,21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и демонтаж металлических ограждающих конструкций на стенах фасадов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334,58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5 018,70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3" w:hAnsi="Arial3" w:cs="Arial" w:hint="eastAsia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6 127,75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внутренней отделки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3,08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100 602,75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Восстановительный ремонт подъезда №3 с комплексом работ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99512,83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593,08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0,81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496,84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4,41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143 999,27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Восстановительный ремонт полов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под.№2,3 комплексом работ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143999,27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2 350,03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стекол в деревянных переплетах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 CYR" w:hAnsi="Arial CYR" w:cs="Arial CYR"/>
                <w:color w:val="FFFFFF"/>
                <w:sz w:val="18"/>
                <w:szCs w:val="18"/>
              </w:rPr>
            </w:pPr>
            <w:r>
              <w:rPr>
                <w:rFonts w:ascii="Arial CYR" w:hAnsi="Arial CYR" w:cs="Arial CYR"/>
                <w:color w:val="FFFFFF"/>
                <w:sz w:val="18"/>
                <w:szCs w:val="18"/>
              </w:rPr>
              <w:t>1 233,70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1 110,33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дверных приборов: пружин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3" w:hAnsi="Arial3" w:cs="Arial" w:hint="eastAsia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395,97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1 187,91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0,81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51,79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202 524,18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9 462,01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1 739,98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9 462,01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3,35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109 535,86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4 661,20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9 322,40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1 772,84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3 545,69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619,85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153,32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5 519,52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25 419,32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15 251,59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4 236,55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11 438,69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1 694,62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24 910,91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340,57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4 086,82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32мм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827,36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827,36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50мм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1 436,18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1 436,18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340,49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340,49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пружинного манометра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1 195,19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2 390,38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термометра с оправой (без оправы)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807,98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807,98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579,25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4 054,75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металлполимерные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25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90 745,34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7 259,63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кранов водоразборных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482,23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964,46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заглушек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573,17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573,17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фланцевых соединений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1 200,65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1 200,65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труб канализационных на ПП  Д 110мм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9015,96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5 409,58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стальных трубопроводов на полипропиленовые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32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7 810,36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7 810,36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дросельных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шайб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627,41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627,41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фланцевых соединений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соед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1 138,01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1 138,01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я(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отопления, горячее водоснабжение) в многоквартирных домах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0,31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10 023,90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684,10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1 368,20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(воздушники в узле)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300,16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3 376,80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2 639,45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5 278,90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15 861,87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467,75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5 613,00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 показаний с ОДПУ ХВС.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1 370,71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9 594,97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9.5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1,77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57 640,53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3 302,40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343,68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704,80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907,34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2 362,91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РЩ, СЩ , ОЩ . Устранение обнаруженных неисправностей  12 раз в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16 613,52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1 525,16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2 745,28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967,41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19 348,20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163,54</w:t>
            </w:r>
          </w:p>
        </w:tc>
      </w:tr>
      <w:tr w:rsidR="00AC551F" w:rsidRPr="0099249D" w:rsidTr="009924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712,03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иодных светильников с датчиком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724,14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4 344,84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замена трехфазного счетчика электроэнергии  включенного через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измерительный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тр-р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тока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4 326,24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4 326,24</w:t>
            </w:r>
          </w:p>
        </w:tc>
      </w:tr>
      <w:tr w:rsidR="00AC551F" w:rsidRPr="0099249D" w:rsidTr="00AC551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551F" w:rsidRDefault="00AC55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2 721,00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29,13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C551F" w:rsidRDefault="00AC55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950 997,62</w:t>
            </w:r>
          </w:p>
        </w:tc>
      </w:tr>
    </w:tbl>
    <w:p w:rsidR="004D52D9" w:rsidRPr="00366C4D" w:rsidRDefault="004D52D9" w:rsidP="00B670E0">
      <w:pPr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  <w:lang w:val="en-US"/>
        </w:rPr>
      </w:pPr>
    </w:p>
    <w:p w:rsidR="0099249D" w:rsidRDefault="0099249D">
      <w:pPr>
        <w:ind w:left="800"/>
        <w:rPr>
          <w:rFonts w:eastAsia="Times New Roman"/>
          <w:sz w:val="20"/>
          <w:szCs w:val="20"/>
          <w:lang w:val="en-US"/>
        </w:rPr>
      </w:pPr>
    </w:p>
    <w:p w:rsidR="0099249D" w:rsidRPr="0099249D" w:rsidRDefault="0099249D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  <w:lang w:val="en-US"/>
        </w:rPr>
      </w:pPr>
    </w:p>
    <w:p w:rsidR="00AC551F" w:rsidRDefault="00AC551F">
      <w:pPr>
        <w:ind w:left="800"/>
        <w:rPr>
          <w:rFonts w:eastAsia="Times New Roman"/>
          <w:sz w:val="20"/>
          <w:szCs w:val="20"/>
          <w:lang w:val="en-US"/>
        </w:rPr>
      </w:pPr>
    </w:p>
    <w:p w:rsidR="00AC551F" w:rsidRDefault="00AC551F">
      <w:pPr>
        <w:ind w:left="800"/>
        <w:rPr>
          <w:rFonts w:eastAsia="Times New Roman"/>
          <w:sz w:val="20"/>
          <w:szCs w:val="20"/>
          <w:lang w:val="en-US"/>
        </w:rPr>
      </w:pPr>
    </w:p>
    <w:p w:rsidR="00AC551F" w:rsidRPr="00AC551F" w:rsidRDefault="00AC551F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7537B" w:rsidRDefault="0087537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3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3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3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Default="00BA2BE6" w:rsidP="00BA2B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79114</w:t>
            </w:r>
          </w:p>
          <w:p w:rsidR="004D52D9" w:rsidRPr="00E664FA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664FA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350764,53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664FA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355064,56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664FA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56111,94</w:t>
            </w:r>
          </w:p>
        </w:tc>
      </w:tr>
      <w:tr w:rsidR="00AC55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51F" w:rsidRPr="00E664FA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350764,53</w:t>
            </w:r>
          </w:p>
        </w:tc>
      </w:tr>
      <w:tr w:rsidR="00AC55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51F" w:rsidRPr="00E664FA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355064,56</w:t>
            </w:r>
          </w:p>
        </w:tc>
      </w:tr>
      <w:tr w:rsidR="00AC551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51F" w:rsidRPr="00E664FA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56111,94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664FA" w:rsidRDefault="00E664F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A2BE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5431,98</w:t>
            </w:r>
          </w:p>
        </w:tc>
      </w:tr>
      <w:tr w:rsidR="00BA2BE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127897,28</w:t>
            </w:r>
          </w:p>
        </w:tc>
      </w:tr>
      <w:tr w:rsidR="00BA2BE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137986,24</w:t>
            </w:r>
          </w:p>
        </w:tc>
      </w:tr>
      <w:tr w:rsidR="00BA2BE6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24154,30</w:t>
            </w:r>
          </w:p>
        </w:tc>
      </w:tr>
      <w:tr w:rsidR="00BA2BE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127897,28</w:t>
            </w:r>
          </w:p>
        </w:tc>
      </w:tr>
      <w:tr w:rsidR="00BA2BE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137986,24</w:t>
            </w:r>
          </w:p>
        </w:tc>
      </w:tr>
      <w:tr w:rsidR="00BA2BE6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24154,30</w:t>
            </w:r>
          </w:p>
        </w:tc>
      </w:tr>
      <w:tr w:rsidR="00BA2BE6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A2BE6" w:rsidRDefault="00BA2BE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A2BE6" w:rsidRDefault="00BA2BE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A2BE6" w:rsidRDefault="00BA2B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Pr="00E664FA" w:rsidRDefault="00BA2BE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90BE5" w:rsidTr="004B325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Default="00E90BE5" w:rsidP="00E90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555,12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1051566,77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1054649,34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126257,96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1051566,77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1054649,34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126257,96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90BE5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0BE5" w:rsidRDefault="00E90BE5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90BE5" w:rsidTr="009B2F5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0BE5" w:rsidRDefault="00E90BE5" w:rsidP="00E90B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4224,98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465302,27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504156,21</w:t>
            </w:r>
          </w:p>
        </w:tc>
      </w:tr>
      <w:tr w:rsidR="00E90BE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E664FA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14622,24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E664FA" w:rsidRDefault="00E90BE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465302,27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E664FA" w:rsidRDefault="00E90BE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504156,21</w:t>
            </w:r>
          </w:p>
        </w:tc>
      </w:tr>
      <w:tr w:rsidR="00E90BE5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E664FA" w:rsidRDefault="00E90BE5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14622,24</w:t>
            </w:r>
          </w:p>
        </w:tc>
      </w:tr>
      <w:tr w:rsidR="00E90BE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90BE5" w:rsidRDefault="00E90BE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90BE5" w:rsidRDefault="00E90B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0BE5" w:rsidRPr="00FD0AAC" w:rsidRDefault="00E90BE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2BE6" w:rsidRDefault="00BA2BE6" w:rsidP="00BA2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16742,00</w:t>
            </w:r>
          </w:p>
          <w:p w:rsidR="004D52D9" w:rsidRPr="00FD0AAC" w:rsidRDefault="004D52D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D0AAC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103386,00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D0AAC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109596,76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D0AAC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14622,24</w:t>
            </w:r>
          </w:p>
        </w:tc>
      </w:tr>
      <w:tr w:rsidR="00AC55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Pr="00FD0AAC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103386,00</w:t>
            </w:r>
          </w:p>
        </w:tc>
      </w:tr>
      <w:tr w:rsidR="00AC55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Pr="00FD0AAC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109596,76</w:t>
            </w:r>
          </w:p>
        </w:tc>
      </w:tr>
      <w:tr w:rsidR="00AC55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551F" w:rsidRPr="00FD0AAC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14622,24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D0AAC" w:rsidRDefault="00FD0AA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2BE6" w:rsidRDefault="00BA2BE6" w:rsidP="00BA2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9526,64</w:t>
            </w:r>
          </w:p>
          <w:p w:rsidR="004D52D9" w:rsidRPr="0087537B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D0AAC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335111,78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D0AAC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355537,41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D0AAC" w:rsidRDefault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56862,48</w:t>
            </w:r>
          </w:p>
        </w:tc>
      </w:tr>
      <w:tr w:rsidR="00AC55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51F" w:rsidRPr="00FD0AAC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335111,78</w:t>
            </w:r>
          </w:p>
        </w:tc>
      </w:tr>
      <w:tr w:rsidR="00AC551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51F" w:rsidRPr="00FD0AAC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355537,41</w:t>
            </w:r>
          </w:p>
        </w:tc>
      </w:tr>
      <w:tr w:rsidR="00AC551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551F" w:rsidRDefault="00AC551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C551F" w:rsidRDefault="00AC55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551F" w:rsidRDefault="00AC55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51F" w:rsidRPr="00FD0AAC" w:rsidRDefault="00AC551F" w:rsidP="00AC551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t>56862,48</w:t>
            </w:r>
          </w:p>
        </w:tc>
      </w:tr>
      <w:tr w:rsidR="0004554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4554B" w:rsidRDefault="0004554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554B" w:rsidRDefault="0004554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4554B" w:rsidRDefault="0004554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4554B" w:rsidRDefault="000455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554B" w:rsidRPr="00FD0AAC" w:rsidRDefault="0004554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99249D" w:rsidRDefault="0099249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3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3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3C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3CC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9249D" w:rsidRDefault="0099249D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3CC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99249D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0296C"/>
    <w:rsid w:val="00030942"/>
    <w:rsid w:val="0004554B"/>
    <w:rsid w:val="000639E5"/>
    <w:rsid w:val="000B30F3"/>
    <w:rsid w:val="0011458B"/>
    <w:rsid w:val="001A2695"/>
    <w:rsid w:val="001C3A71"/>
    <w:rsid w:val="00203CC7"/>
    <w:rsid w:val="00210DAB"/>
    <w:rsid w:val="002407C2"/>
    <w:rsid w:val="00245E31"/>
    <w:rsid w:val="002530F0"/>
    <w:rsid w:val="002843DB"/>
    <w:rsid w:val="00286516"/>
    <w:rsid w:val="00320040"/>
    <w:rsid w:val="0032388D"/>
    <w:rsid w:val="00366C4D"/>
    <w:rsid w:val="003D2C9C"/>
    <w:rsid w:val="003E6AF5"/>
    <w:rsid w:val="003E7DC2"/>
    <w:rsid w:val="00496B37"/>
    <w:rsid w:val="004D4705"/>
    <w:rsid w:val="004D52D9"/>
    <w:rsid w:val="004F1248"/>
    <w:rsid w:val="004F1B9D"/>
    <w:rsid w:val="0056044D"/>
    <w:rsid w:val="005B7F5D"/>
    <w:rsid w:val="00625B11"/>
    <w:rsid w:val="006437BC"/>
    <w:rsid w:val="006504EA"/>
    <w:rsid w:val="00665D98"/>
    <w:rsid w:val="00697299"/>
    <w:rsid w:val="006D7712"/>
    <w:rsid w:val="007344AF"/>
    <w:rsid w:val="007468B1"/>
    <w:rsid w:val="007655DE"/>
    <w:rsid w:val="007B6312"/>
    <w:rsid w:val="007C297A"/>
    <w:rsid w:val="007C4446"/>
    <w:rsid w:val="007D2DF0"/>
    <w:rsid w:val="007F3359"/>
    <w:rsid w:val="00837533"/>
    <w:rsid w:val="008471E2"/>
    <w:rsid w:val="0087537B"/>
    <w:rsid w:val="00883580"/>
    <w:rsid w:val="0089366B"/>
    <w:rsid w:val="008B7B40"/>
    <w:rsid w:val="008E04DC"/>
    <w:rsid w:val="008F07A9"/>
    <w:rsid w:val="008F1778"/>
    <w:rsid w:val="008F6A7F"/>
    <w:rsid w:val="008F73D5"/>
    <w:rsid w:val="009131AC"/>
    <w:rsid w:val="00967D3D"/>
    <w:rsid w:val="009878A3"/>
    <w:rsid w:val="0099249D"/>
    <w:rsid w:val="009B6B89"/>
    <w:rsid w:val="009E2054"/>
    <w:rsid w:val="009F177E"/>
    <w:rsid w:val="00A20841"/>
    <w:rsid w:val="00A42820"/>
    <w:rsid w:val="00AB0CEA"/>
    <w:rsid w:val="00AC551F"/>
    <w:rsid w:val="00AD5392"/>
    <w:rsid w:val="00AE739E"/>
    <w:rsid w:val="00B46CD6"/>
    <w:rsid w:val="00B63222"/>
    <w:rsid w:val="00B670E0"/>
    <w:rsid w:val="00BA2BE6"/>
    <w:rsid w:val="00BD05A2"/>
    <w:rsid w:val="00BF5C6C"/>
    <w:rsid w:val="00BF7B04"/>
    <w:rsid w:val="00C062FE"/>
    <w:rsid w:val="00C231B5"/>
    <w:rsid w:val="00C57018"/>
    <w:rsid w:val="00C7748B"/>
    <w:rsid w:val="00CA00D8"/>
    <w:rsid w:val="00CA23BA"/>
    <w:rsid w:val="00CE6CB8"/>
    <w:rsid w:val="00D60896"/>
    <w:rsid w:val="00D676F3"/>
    <w:rsid w:val="00D81566"/>
    <w:rsid w:val="00D96BE0"/>
    <w:rsid w:val="00DC5B9B"/>
    <w:rsid w:val="00E07CA3"/>
    <w:rsid w:val="00E36E17"/>
    <w:rsid w:val="00E664FA"/>
    <w:rsid w:val="00E742FB"/>
    <w:rsid w:val="00E90BE5"/>
    <w:rsid w:val="00E95C1F"/>
    <w:rsid w:val="00EA7ED1"/>
    <w:rsid w:val="00EC67EB"/>
    <w:rsid w:val="00F33530"/>
    <w:rsid w:val="00FA1465"/>
    <w:rsid w:val="00FA3E44"/>
    <w:rsid w:val="00FD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uiPriority w:val="99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character" w:styleId="a6">
    <w:name w:val="FollowedHyperlink"/>
    <w:basedOn w:val="a0"/>
    <w:uiPriority w:val="99"/>
    <w:semiHidden/>
    <w:unhideWhenUsed/>
    <w:rsid w:val="0099249D"/>
    <w:rPr>
      <w:color w:val="800080"/>
      <w:u w:val="single"/>
    </w:rPr>
  </w:style>
  <w:style w:type="paragraph" w:customStyle="1" w:styleId="font5">
    <w:name w:val="font5"/>
    <w:basedOn w:val="a"/>
    <w:rsid w:val="0099249D"/>
    <w:pP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9249D"/>
    <w:pP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font7">
    <w:name w:val="font7"/>
    <w:basedOn w:val="a"/>
    <w:rsid w:val="0099249D"/>
    <w:pPr>
      <w:suppressAutoHyphens w:val="0"/>
      <w:spacing w:before="100" w:beforeAutospacing="1" w:after="100" w:afterAutospacing="1"/>
    </w:pPr>
    <w:rPr>
      <w:rFonts w:ascii="DejaVu Sans" w:eastAsia="Times New Roman" w:hAnsi="DejaVu Sans" w:cs="DejaVu Sans"/>
      <w:sz w:val="16"/>
      <w:szCs w:val="16"/>
      <w:lang w:eastAsia="ru-RU"/>
    </w:rPr>
  </w:style>
  <w:style w:type="paragraph" w:customStyle="1" w:styleId="xl66">
    <w:name w:val="xl66"/>
    <w:basedOn w:val="a"/>
    <w:rsid w:val="009924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924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924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924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9249D"/>
    <w:pP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9249D"/>
    <w:pP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9249D"/>
    <w:pP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9249D"/>
    <w:pP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4">
    <w:name w:val="xl114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6">
    <w:name w:val="xl116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17">
    <w:name w:val="xl117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18">
    <w:name w:val="xl118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19">
    <w:name w:val="xl119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20">
    <w:name w:val="xl120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1">
    <w:name w:val="xl121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2">
    <w:name w:val="xl122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3">
    <w:name w:val="xl123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24">
    <w:name w:val="xl124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5">
    <w:name w:val="xl125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6">
    <w:name w:val="xl126"/>
    <w:basedOn w:val="a"/>
    <w:rsid w:val="00992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C7D0-6469-4866-B56E-7406FD7E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23</Pages>
  <Words>7015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9</cp:revision>
  <cp:lastPrinted>2018-12-10T09:46:00Z</cp:lastPrinted>
  <dcterms:created xsi:type="dcterms:W3CDTF">2020-02-17T11:31:00Z</dcterms:created>
  <dcterms:modified xsi:type="dcterms:W3CDTF">2021-03-19T07:21:00Z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