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16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68"/>
        <w:gridCol w:w="32"/>
        <w:gridCol w:w="980"/>
        <w:gridCol w:w="2898"/>
        <w:gridCol w:w="58"/>
        <w:gridCol w:w="3495"/>
        <w:gridCol w:w="21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>
        <w:trPr>
          <w:trHeight w:val="446" w:hRule="atLeast"/>
        </w:trPr>
        <w:tc>
          <w:tcPr>
            <w:tcW w:w="1114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0" b="0"/>
                      <wp:wrapNone/>
                      <wp:docPr id="1" name="Врезка '35407,19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0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35407,19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Врезка '35407,19' 1" stroked="f" o:allowincell="f" style="position:absolute;margin-left:4.05pt;margin-top:0pt;width:39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35407,19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19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2834"/>
        <w:gridCol w:w="992"/>
        <w:gridCol w:w="2977"/>
        <w:gridCol w:w="3545"/>
      </w:tblGrid>
      <w:tr>
        <w:trPr>
          <w:trHeight w:val="26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0" b="0"/>
                      <wp:wrapNone/>
                      <wp:docPr id="2" name="Врезка '35407,19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0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35407,19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35407,19' 2" stroked="f" o:allowincell="f" style="position:absolute;margin-left:4.05pt;margin-top:0pt;width:39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35407,19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0" b="0"/>
                      <wp:wrapNone/>
                      <wp:docPr id="3" name="Врезка '35407,19'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0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35407,19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35407,19' 3" stroked="f" o:allowincell="f" style="position:absolute;margin-left:4.05pt;margin-top:0pt;width:39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35407,19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0" b="0"/>
                      <wp:wrapNone/>
                      <wp:docPr id="4" name="Врезка '35407,19'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0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35407,19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35407,19' 4" stroked="f" o:allowincell="f" style="position:absolute;margin-left:4.05pt;margin-top:0pt;width:39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35407,19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7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"/>
        <w:gridCol w:w="5097"/>
        <w:gridCol w:w="916"/>
        <w:gridCol w:w="916"/>
        <w:gridCol w:w="1658"/>
        <w:gridCol w:w="1161"/>
        <w:gridCol w:w="1118"/>
      </w:tblGrid>
      <w:tr>
        <w:trPr>
          <w:trHeight w:val="554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работ (услуг)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Ед.изм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Периодичность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Расценка, тариф за ед., руб.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3,85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6 232,38</w:t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1.3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294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1.4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1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1.5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159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1.6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226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558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1.8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1.9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2,31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3 739,43</w:t>
            </w:r>
          </w:p>
        </w:tc>
      </w:tr>
      <w:tr>
        <w:trPr>
          <w:trHeight w:val="138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2.1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2.2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</w:tr>
      <w:tr>
        <w:trPr>
          <w:trHeight w:val="93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2,19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3 545,17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1,37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2 217,76</w:t>
            </w:r>
          </w:p>
        </w:tc>
      </w:tr>
      <w:tr>
        <w:trPr>
          <w:trHeight w:val="11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1,59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2 572,84</w:t>
            </w:r>
          </w:p>
        </w:tc>
      </w:tr>
      <w:tr>
        <w:trPr>
          <w:trHeight w:val="48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5.1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кровель ( шиферных)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249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1,67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831,42</w:t>
            </w:r>
          </w:p>
        </w:tc>
      </w:tr>
      <w:tr>
        <w:trPr>
          <w:trHeight w:val="48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5.2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Осмотр деревянных стен 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1,95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155,82</w:t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внутренней и наружной штукатурки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1,27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862,80</w:t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1,06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722,79</w:t>
            </w:r>
          </w:p>
        </w:tc>
      </w:tr>
      <w:tr>
        <w:trPr>
          <w:trHeight w:val="93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0,95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1 533,87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6.1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Проверка наличия тяги в дымовентканалах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2,05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69,69</w:t>
            </w:r>
          </w:p>
        </w:tc>
      </w:tr>
      <w:tr>
        <w:trPr>
          <w:trHeight w:val="93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6.2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Техосмотр системы отопления отапливаемых помещений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1000 м2 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0,1404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5 565,05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781,33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6.3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Промывка СО гидравлическим способом 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1000 м3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0,454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371,88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168,83</w:t>
            </w:r>
          </w:p>
        </w:tc>
      </w:tr>
      <w:tr>
        <w:trPr>
          <w:trHeight w:val="70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6.4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Измерение тока по фазам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линия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52,56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105,12</w:t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Измерение сопротивления изол. Электросети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840,93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0,50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262,79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131,40</w:t>
            </w:r>
          </w:p>
        </w:tc>
      </w:tr>
      <w:tr>
        <w:trPr>
          <w:trHeight w:val="255" w:hRule="atLeast"/>
        </w:trPr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kern w:val="0"/>
                <w:sz w:val="20"/>
                <w:szCs w:val="20"/>
                <w:lang w:val="ru-RU" w:eastAsia="ru-RU" w:bidi="ar-SA"/>
              </w:rPr>
              <w:t>кв.м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134,90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20"/>
                <w:szCs w:val="20"/>
                <w:lang w:val="ru-RU" w:eastAsia="ru-RU" w:bidi="ar-SA"/>
              </w:rPr>
              <w:t>12,26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19 841,45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39,32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362585" cy="133350"/>
                      <wp:effectExtent l="0" t="0" r="0" b="0"/>
                      <wp:wrapNone/>
                      <wp:docPr id="5" name="Врезка '968,96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968,96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968,96' 1" stroked="f" o:allowincell="f" style="position:absolute;margin-left:88.65pt;margin-top:0pt;width:28.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968,96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429260" cy="133350"/>
                      <wp:effectExtent l="0" t="0" r="0" b="0"/>
                      <wp:wrapNone/>
                      <wp:docPr id="6" name="Врезка '1979,45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1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1979,45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1979,45' 1" stroked="f" o:allowincell="f" style="position:absolute;margin-left:88.6pt;margin-top:0pt;width:33.7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1979,45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04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400685" cy="133350"/>
                      <wp:effectExtent l="0" t="0" r="0" b="0"/>
                      <wp:wrapNone/>
                      <wp:docPr id="7" name="Врезка '-116,29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6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-116,29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-116,29' 1" stroked="f" o:allowincell="f" style="position:absolute;margin-left:88.65pt;margin-top:0pt;width:31.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-116,29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362585" cy="133350"/>
                      <wp:effectExtent l="0" t="0" r="0" b="0"/>
                      <wp:wrapNone/>
                      <wp:docPr id="8" name="Врезка '968,96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968,96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968,96' 2" stroked="f" o:allowincell="f" style="position:absolute;margin-left:88.65pt;margin-top:0pt;width:28.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968,96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429260" cy="133350"/>
                      <wp:effectExtent l="0" t="0" r="0" b="0"/>
                      <wp:wrapNone/>
                      <wp:docPr id="9" name="Врезка '1979,45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1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1979,45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1979,45' 2" stroked="f" o:allowincell="f" style="position:absolute;margin-left:88.6pt;margin-top:0pt;width:33.7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1979,45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400685" cy="133350"/>
                      <wp:effectExtent l="0" t="0" r="0" b="0"/>
                      <wp:wrapNone/>
                      <wp:docPr id="10" name="Врезка '-116,29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6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32"/>
                                      <w:b w:val="false"/>
                                      <w:szCs w:val="32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val="en-US" w:eastAsia="en-US" w:bidi="en-US"/>
                                    </w:rPr>
                                    <w:t>-116,29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-116,29' 2" stroked="f" o:allowincell="f" style="position:absolute;margin-left:88.65pt;margin-top:0pt;width:31.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Arial" w:hAnsi="Arial" w:eastAsia="Arial" w:cs="Arial"/>
                                <w:color w:val="000000"/>
                                <w:lang w:val="en-US" w:eastAsia="en-US" w:bidi="en-US"/>
                              </w:rPr>
                              <w:t>-116,29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98757,84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98757,84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635</wp:posOffset>
                      </wp:positionV>
                      <wp:extent cx="755650" cy="133350"/>
                      <wp:effectExtent l="0" t="0" r="0" b="0"/>
                      <wp:wrapNone/>
                      <wp:docPr id="11" name="Врезка '73257,28'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4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73257,28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73257,28' 1" stroked="f" o:allowincell="f" style="position:absolute;margin-left:67.9pt;margin-top:0pt;width:59.4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73257,28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6657,40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-3354,78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hanging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635</wp:posOffset>
                      </wp:positionV>
                      <wp:extent cx="679450" cy="133350"/>
                      <wp:effectExtent l="0" t="0" r="0" b="0"/>
                      <wp:wrapNone/>
                      <wp:docPr id="12" name="Врезка '73257,28'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32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b w:val="false"/>
                                      <w:szCs w:val="18"/>
                                      <w:bCs w:val="false"/>
                                      <w:rFonts w:ascii="Arial" w:hAnsi="Arial" w:eastAsia="Arial" w:cs="Arial"/>
                                      <w:color w:val="000000"/>
                                      <w:lang w:eastAsia="ru-RU"/>
                                    </w:rPr>
                                    <w:t>73257,28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'73257,28' 2" stroked="f" o:allowincell="f" style="position:absolute;margin-left:73.9pt;margin-top:0pt;width:53.45pt;height:10.45pt;mso-wrap-style:none;v-text-anchor:top" type="_x0000_t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Arial" w:hAnsi="Arial" w:eastAsia="Arial" w:cs="Arial"/>
                                <w:color w:val="000000"/>
                                <w:lang w:eastAsia="ru-RU"/>
                              </w:rPr>
                              <w:t>73257,28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6657,40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olor w:val="000000"/>
                <w:sz w:val="18"/>
                <w:szCs w:val="18"/>
                <w:lang w:eastAsia="ru-RU"/>
              </w:rPr>
              <w:t>-3354,78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3" w:right="340" w:gutter="0" w:header="0" w:top="573" w:footer="0" w:bottom="29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paragraph" w:styleId="Style16">
    <w:name w:val="Объект без заливки"/>
    <w:basedOn w:val="Normal"/>
    <w:qFormat/>
    <w:pPr/>
    <w:rPr/>
  </w:style>
  <w:style w:type="paragraph" w:styleId="Style17">
    <w:name w:val="Объект без заливки и линий"/>
    <w:basedOn w:val="Normal"/>
    <w:qFormat/>
    <w:pPr/>
    <w:rPr/>
  </w:style>
  <w:style w:type="paragraph" w:styleId="A4">
    <w:name w:val="A4"/>
    <w:basedOn w:val="Style18"/>
    <w:qFormat/>
    <w:pPr/>
    <w:rPr>
      <w:rFonts w:ascii="Noto Sans" w:hAnsi="Noto Sans"/>
      <w:sz w:val="36"/>
    </w:rPr>
  </w:style>
  <w:style w:type="paragraph" w:styleId="Style18">
    <w:name w:val="Текст"/>
    <w:basedOn w:val="Style12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8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9">
    <w:name w:val="Графика"/>
    <w:qFormat/>
    <w:pPr>
      <w:widowControl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ru-RU" w:bidi="ar-SA"/>
    </w:rPr>
  </w:style>
  <w:style w:type="paragraph" w:styleId="Style20">
    <w:name w:val="Фигуры"/>
    <w:basedOn w:val="Style19"/>
    <w:qFormat/>
    <w:pPr/>
    <w:rPr>
      <w:rFonts w:ascii="Liberation Sans" w:hAnsi="Liberation Sans"/>
      <w:b/>
      <w:sz w:val="28"/>
    </w:rPr>
  </w:style>
  <w:style w:type="paragraph" w:styleId="Style21">
    <w:name w:val="Заливка"/>
    <w:basedOn w:val="Style20"/>
    <w:qFormat/>
    <w:pPr/>
    <w:rPr>
      <w:rFonts w:ascii="Liberation Sans" w:hAnsi="Liberation Sans"/>
      <w:b/>
      <w:sz w:val="28"/>
    </w:rPr>
  </w:style>
  <w:style w:type="paragraph" w:styleId="Style22">
    <w:name w:val="Заливка сини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зелён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Заливка красн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5">
    <w:name w:val="Заливка жёлтым"/>
    <w:basedOn w:val="Style21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Контур"/>
    <w:basedOn w:val="Style20"/>
    <w:qFormat/>
    <w:pPr/>
    <w:rPr>
      <w:rFonts w:ascii="Liberation Sans" w:hAnsi="Liberation Sans"/>
      <w:b/>
      <w:sz w:val="28"/>
    </w:rPr>
  </w:style>
  <w:style w:type="paragraph" w:styleId="Style27">
    <w:name w:val="Контур синий"/>
    <w:basedOn w:val="Style26"/>
    <w:qFormat/>
    <w:pPr/>
    <w:rPr>
      <w:rFonts w:ascii="Liberation Sans" w:hAnsi="Liberation Sans"/>
      <w:b/>
      <w:color w:val="355269"/>
      <w:sz w:val="28"/>
    </w:rPr>
  </w:style>
  <w:style w:type="paragraph" w:styleId="Style28">
    <w:name w:val="Контур зелёный"/>
    <w:basedOn w:val="Style26"/>
    <w:qFormat/>
    <w:pPr/>
    <w:rPr>
      <w:rFonts w:ascii="Liberation Sans" w:hAnsi="Liberation Sans"/>
      <w:b/>
      <w:color w:val="127622"/>
      <w:sz w:val="28"/>
    </w:rPr>
  </w:style>
  <w:style w:type="paragraph" w:styleId="Style29">
    <w:name w:val="Контур красный"/>
    <w:basedOn w:val="Style26"/>
    <w:qFormat/>
    <w:pPr/>
    <w:rPr>
      <w:rFonts w:ascii="Liberation Sans" w:hAnsi="Liberation Sans"/>
      <w:b/>
      <w:color w:val="C9211E"/>
      <w:sz w:val="28"/>
    </w:rPr>
  </w:style>
  <w:style w:type="paragraph" w:styleId="Style30">
    <w:name w:val="Контур жёлтый"/>
    <w:basedOn w:val="Style26"/>
    <w:qFormat/>
    <w:pPr/>
    <w:rPr>
      <w:rFonts w:ascii="Liberation Sans" w:hAnsi="Liberation Sans"/>
      <w:b/>
      <w:color w:val="B47804"/>
      <w:sz w:val="28"/>
    </w:rPr>
  </w:style>
  <w:style w:type="paragraph" w:styleId="Style31">
    <w:name w:val="Линии"/>
    <w:basedOn w:val="Style19"/>
    <w:qFormat/>
    <w:pPr/>
    <w:rPr>
      <w:rFonts w:ascii="Liberation Sans" w:hAnsi="Liberation Sans"/>
      <w:sz w:val="36"/>
    </w:rPr>
  </w:style>
  <w:style w:type="paragraph" w:styleId="Style32">
    <w:name w:val="Стрелки"/>
    <w:basedOn w:val="Style31"/>
    <w:qFormat/>
    <w:pPr/>
    <w:rPr>
      <w:rFonts w:ascii="Liberation Sans" w:hAnsi="Liberation Sans"/>
      <w:sz w:val="36"/>
    </w:rPr>
  </w:style>
  <w:style w:type="paragraph" w:styleId="Style33">
    <w:name w:val="Штриховая линия"/>
    <w:basedOn w:val="Style31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ar-SA"/>
    </w:rPr>
  </w:style>
  <w:style w:type="paragraph" w:styleId="Master-page3LTUntertitel">
    <w:name w:val="master-page3~LT~Untertitel"/>
    <w:qFormat/>
    <w:pPr>
      <w:widowControl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Master-page3LTNotizen">
    <w:name w:val="master-page3~LT~Notizen"/>
    <w:qFormat/>
    <w:pPr>
      <w:widowControl/>
      <w:bidi w:val="0"/>
      <w:spacing w:before="0" w:after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Master-page3LTHintergrundobjekte">
    <w:name w:val="master-page3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Master-page3LTHintergrund">
    <w:name w:val="master-page3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Bg-none">
    <w:name w:val="bg-none"/>
    <w:basedOn w:val="Default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Style34">
    <w:name w:val="Объекты фона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35">
    <w:name w:val="Фон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36">
    <w:name w:val="Примечания"/>
    <w:qFormat/>
    <w:pPr>
      <w:widowControl/>
      <w:bidi w:val="0"/>
      <w:spacing w:before="0" w:after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1">
    <w:name w:val="Структура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a430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D2A2-36F5-4AD5-82D0-D60FD34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Application>LibreOffice/7.5.0.3$Windows_X86_64 LibreOffice_project/c21113d003cd3efa8c53188764377a8272d9d6de</Application>
  <AppVersion>15.0000</AppVersion>
  <Pages>8</Pages>
  <Words>1993</Words>
  <Characters>14018</Characters>
  <CharactersWithSpaces>15140</CharactersWithSpaces>
  <Paragraphs>875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2019-01-19T22:15:00Z</dcterms:created>
  <dc:creator>Windows User</dc:creator>
  <dc:description/>
  <dc:language>ru-RU</dc:language>
  <cp:lastModifiedBy/>
  <cp:lastPrinted>2018-12-10T09:46:00Z</cp:lastPrinted>
  <dcterms:modified xsi:type="dcterms:W3CDTF">2023-02-22T11:22:56Z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