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spacing w:lineRule="exact" w:line="3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" w:hanging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Александровича, д. 25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9"/>
        <w:tblW w:w="111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00"/>
        <w:gridCol w:w="2787"/>
        <w:gridCol w:w="952"/>
        <w:gridCol w:w="2787"/>
        <w:gridCol w:w="3390"/>
        <w:gridCol w:w="236"/>
        <w:gridCol w:w="236"/>
      </w:tblGrid>
      <w:tr>
        <w:trPr>
          <w:trHeight w:val="26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2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N пп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34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kern w:val="0"/>
                <w:sz w:val="20"/>
                <w:szCs w:val="20"/>
                <w:lang w:val="ru-RU" w:bidi="ar-SA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измерения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показателя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Значение показателя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заполнения/внесения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изменений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заполнения/внесения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изменений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начала отчетного периода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начала отчетного периода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01.01.2023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конца отчетного периода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Дата конца отчетного периода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31.12.2023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446" w:hRule="atLeast"/>
        </w:trPr>
        <w:tc>
          <w:tcPr>
            <w:tcW w:w="10716" w:type="dxa"/>
            <w:gridSpan w:val="5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 в многоквартирном доме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2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N пп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340" w:hanging="0"/>
              <w:jc w:val="left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kern w:val="0"/>
                <w:sz w:val="20"/>
                <w:szCs w:val="20"/>
                <w:lang w:val="ru-RU" w:bidi="ar-SA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измерения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32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Наименование показателя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60" w:hanging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Значение показателя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начало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начало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начало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начало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начало 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начало периода)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  <w:t>100890,35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 (работы)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 содержанию и текущему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ремонту, в том числе: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 (работы)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 содержанию и текущему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ремонту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  <w:t>636051,00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содержание дома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содержание дома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7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9.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текущий ремонт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текущий ремонт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10.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за услуги управления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Начислено за услуги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управления</w:t>
            </w:r>
          </w:p>
        </w:tc>
        <w:tc>
          <w:tcPr>
            <w:tcW w:w="36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6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11.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средств, в том числе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  <w:t>642799,86</w:t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12.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денежных средств 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 нанимателей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 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собственников/нанимателей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  <w:t>642799,86</w:t>
            </w:r>
          </w:p>
        </w:tc>
      </w:tr>
      <w:tr>
        <w:trPr>
          <w:trHeight w:val="24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13.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целевых взносов 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 нанимателей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целевых взносов 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собственников/нанимателей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помещений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14.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субсидий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субсидий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15.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денежных средств 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использования общего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Получено денежных средств от использования общего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имущества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16.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- прочие поступления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Прочие поступления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17.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Всего денежных средств с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учетом остатков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Всего денежных средств с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учетом остатков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18.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конец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Авансовые платежи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потребителей (на конец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19.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конец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Переходящие остатки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денежных средств (на конец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периода)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10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20.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конец периода)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руб.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Задолженность потребителей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(на конец периода)</w:t>
            </w:r>
          </w:p>
        </w:tc>
        <w:tc>
          <w:tcPr>
            <w:tcW w:w="38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ind w:left="80" w:hanging="0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lang w:val="ru-RU" w:bidi="ar-SA"/>
              </w:rPr>
              <w:t>67934,97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>
      <w:pPr>
        <w:pStyle w:val="Normal"/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>
      <w:pPr>
        <w:pStyle w:val="Normal"/>
        <w:rPr/>
      </w:pPr>
      <w:r>
        <w:rPr/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2"/>
        <w:gridCol w:w="4482"/>
        <w:gridCol w:w="1113"/>
        <w:gridCol w:w="1218"/>
        <w:gridCol w:w="1512"/>
        <w:gridCol w:w="1104"/>
        <w:gridCol w:w="1132"/>
      </w:tblGrid>
      <w:tr>
        <w:trPr>
          <w:trHeight w:val="81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107 927,82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4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3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6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8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64 756,69</w:t>
            </w:r>
          </w:p>
        </w:tc>
      </w:tr>
      <w:tr>
        <w:trPr>
          <w:trHeight w:val="14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110 450,81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37 003,82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61 392,71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38 405,48</w:t>
            </w:r>
          </w:p>
        </w:tc>
      </w:tr>
      <w:tr>
        <w:trPr>
          <w:trHeight w:val="14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146 450,42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Перенавеска водосточных труб с земли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568,39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1 989,37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277,32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970,62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21 196,56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кровель рулонных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3 398,08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 по  периметру  крыши  от  снега,  наледи  и  сосулек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24 300,19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24 300,19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карниза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2 331,88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23 318,80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Добавлять к есн на последующий слой 20мм (штукатурка стен фасада)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3 008,96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Перетирка штукатурки фасадов гладких клеем ЕК с автовышки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9 258,82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Окраска стен фасада, карниза за 2 раза с автовышки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428,78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42 449,22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550,76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2388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6 352,08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5 803,84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форточек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556,05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1 112,10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дверных приборов: проушин, щеколды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542,35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1 084,70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570,64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навесных замков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728,31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проушин.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проушина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229,70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229,70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127,68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2 336,10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193 495,31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6 806,90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п.м.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4 829,28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 ХВС, ГВС, канализации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14 023,94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2,3364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13 652,31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0,2348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26 342,53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Замена вентилей до 32мм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1 050,25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3 150,75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сгонов до 32мм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543,61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1 630,83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Замена стальных трубопроводов на металлполимерные Д до 25 мм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100мп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145 845,84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4 375,38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13,39155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5 229,00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21 396,84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353,52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1 165,53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2 345,41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13 968,72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лест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1 682,87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м.кв.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0,684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3 197,45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4 260,64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с.диодных светильников с датчиком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1 222,16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1 222,16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2336,10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27,11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759 883,06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tabs>
          <w:tab w:val="clear" w:pos="720"/>
          <w:tab w:val="center" w:pos="5983" w:leader="none"/>
          <w:tab w:val="right" w:pos="11166" w:leader="none"/>
        </w:tabs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  <w:tab/>
      </w:r>
    </w:p>
    <w:p>
      <w:pPr>
        <w:pStyle w:val="Normal"/>
        <w:spacing w:lineRule="exact" w:line="234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05"/>
        <w:gridCol w:w="2845"/>
        <w:gridCol w:w="1003"/>
        <w:gridCol w:w="2869"/>
        <w:gridCol w:w="3518"/>
        <w:gridCol w:w="130"/>
      </w:tblGrid>
      <w:tr>
        <w:trPr>
          <w:trHeight w:val="266" w:hRule="atLeast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1040" w:type="dxa"/>
            <w:gridSpan w:val="5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>
        <w:trPr>
          <w:trHeight w:val="246" w:hRule="atLeast"/>
        </w:trPr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26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36"/>
        <w:gridCol w:w="2850"/>
        <w:gridCol w:w="1012"/>
        <w:gridCol w:w="2897"/>
        <w:gridCol w:w="3575"/>
      </w:tblGrid>
      <w:tr>
        <w:trPr>
          <w:trHeight w:val="26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58624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258535,55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261609,83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29391,05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258535,55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261609,83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29391,05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</w:rPr>
              <w:t>2321,00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60104,59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64597,75</w:t>
            </w:r>
          </w:p>
        </w:tc>
      </w:tr>
      <w:tr>
        <w:trPr>
          <w:trHeight w:val="27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1724,43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60104,59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64597,75</w:t>
            </w:r>
          </w:p>
        </w:tc>
      </w:tr>
      <w:tr>
        <w:trPr>
          <w:trHeight w:val="902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1724,43</w:t>
            </w:r>
          </w:p>
        </w:tc>
      </w:tr>
      <w:tr>
        <w:trPr>
          <w:trHeight w:val="246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7"/>
        <w:gridCol w:w="2901"/>
        <w:gridCol w:w="980"/>
        <w:gridCol w:w="2897"/>
        <w:gridCol w:w="3575"/>
      </w:tblGrid>
      <w:tr>
        <w:trPr>
          <w:trHeight w:val="300" w:hRule="atLeast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532,60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1176530,58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1185202,33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125817,28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1176530,58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1185202,33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125817,28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2 237,72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334071,09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335551,22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28306,27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334071,09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335551,22</w:t>
            </w:r>
          </w:p>
        </w:tc>
      </w:tr>
      <w:tr>
        <w:trPr>
          <w:trHeight w:val="812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28306,27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5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7"/>
        <w:gridCol w:w="2899"/>
        <w:gridCol w:w="981"/>
        <w:gridCol w:w="2900"/>
        <w:gridCol w:w="3561"/>
      </w:tblGrid>
      <w:tr>
        <w:trPr>
          <w:trHeight w:val="296" w:hRule="atLeast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9663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68883,80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69423,04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6921,77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68883,80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69423,04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6921,77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</w:rPr>
              <w:t>2712,38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205580,18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207648,09</w:t>
            </w:r>
          </w:p>
        </w:tc>
      </w:tr>
      <w:tr>
        <w:trPr>
          <w:trHeight w:val="27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18420,88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205580,18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207648,09</w:t>
            </w:r>
          </w:p>
        </w:tc>
      </w:tr>
      <w:tr>
        <w:trPr>
          <w:trHeight w:val="812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/>
              <w:t>18420,88</w:t>
            </w:r>
          </w:p>
        </w:tc>
      </w:tr>
      <w:tr>
        <w:trPr>
          <w:trHeight w:val="246" w:hRule="atLeast"/>
        </w:trPr>
        <w:tc>
          <w:tcPr>
            <w:tcW w:w="81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pacing w:lineRule="exact" w:line="2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17"/>
        <w:gridCol w:w="2901"/>
        <w:gridCol w:w="980"/>
        <w:gridCol w:w="2897"/>
        <w:gridCol w:w="3575"/>
      </w:tblGrid>
      <w:tr>
        <w:trPr>
          <w:trHeight w:val="266" w:hRule="atLeast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20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4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6" w:hRule="atLeast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25"/>
        <w:gridCol w:w="2898"/>
        <w:gridCol w:w="965"/>
        <w:gridCol w:w="2910"/>
        <w:gridCol w:w="3588"/>
      </w:tblGrid>
      <w:tr>
        <w:trPr/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2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60" w:hanging="0"/>
              <w:rPr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36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>
            <w:pPr>
              <w:pStyle w:val="Normal"/>
              <w:widowControl w:val="false"/>
              <w:ind w:left="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exact" w:line="35"/>
        <w:rPr>
          <w:lang w:val="en-US"/>
        </w:rPr>
      </w:pPr>
      <w:r>
        <w:rPr/>
      </w:r>
    </w:p>
    <w:sectPr>
      <w:type w:val="nextPage"/>
      <w:pgSz w:w="11906" w:h="16838"/>
      <w:pgMar w:left="400" w:right="340" w:gutter="0" w:header="0" w:top="572" w:footer="0" w:bottom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Arial3">
    <w:charset w:val="cc"/>
    <w:family w:val="roman"/>
    <w:pitch w:val="variable"/>
  </w:font>
  <w:font w:name="DejaVu Sans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5b9b"/>
    <w:pPr>
      <w:widowControl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0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dc5b9b"/>
    <w:rPr/>
  </w:style>
  <w:style w:type="character" w:styleId="-">
    <w:name w:val="Hyperlink"/>
    <w:basedOn w:val="1"/>
    <w:rsid w:val="00dc5b9b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dc5b9b"/>
    <w:pPr>
      <w:spacing w:before="0" w:after="120"/>
    </w:pPr>
    <w:rPr/>
  </w:style>
  <w:style w:type="paragraph" w:styleId="Style16">
    <w:name w:val="List"/>
    <w:basedOn w:val="Style15"/>
    <w:rsid w:val="00dc5b9b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15"/>
    <w:qFormat/>
    <w:rsid w:val="00dc5b9b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dc5b9b"/>
    <w:pPr>
      <w:suppressLineNumbers/>
    </w:pPr>
    <w:rPr>
      <w:rFonts w:cs="Lucida Sans"/>
    </w:rPr>
  </w:style>
  <w:style w:type="paragraph" w:styleId="13" w:customStyle="1">
    <w:name w:val="Название объекта1"/>
    <w:basedOn w:val="Normal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Содержимое таблицы"/>
    <w:basedOn w:val="Normal"/>
    <w:qFormat/>
    <w:rsid w:val="00dc5b9b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dc5b9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16b9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0070-11D0-425B-94DB-C3D59F36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LibreOffice/7.5.5.2$Windows_X86_64 LibreOffice_project/ca8fe7424262805f223b9a2334bc7181abbcbf5e</Application>
  <AppVersion>15.0000</AppVersion>
  <Pages>11</Pages>
  <Words>2589</Words>
  <Characters>17358</Characters>
  <CharactersWithSpaces>18847</CharactersWithSpaces>
  <Paragraphs>1112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2019-01-09T07:16:00Z</dcterms:created>
  <dc:creator>Windows User</dc:creator>
  <dc:description/>
  <dc:language>ru-RU</dc:language>
  <cp:lastModifiedBy/>
  <cp:lastPrinted>2018-12-10T09:46:00Z</cp:lastPrinted>
  <dcterms:modified xsi:type="dcterms:W3CDTF">2024-03-15T10:49:54Z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