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Дзержинского, д. 4</w:t>
      </w:r>
    </w:p>
    <w:tbl>
      <w:tblPr>
        <w:tblStyle w:val="a9"/>
        <w:tblW w:w="1122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2"/>
        <w:gridCol w:w="7"/>
        <w:gridCol w:w="2717"/>
        <w:gridCol w:w="7"/>
        <w:gridCol w:w="925"/>
        <w:gridCol w:w="2727"/>
        <w:gridCol w:w="3317"/>
        <w:gridCol w:w="235"/>
        <w:gridCol w:w="237"/>
        <w:gridCol w:w="235"/>
      </w:tblGrid>
      <w:tr>
        <w:trPr>
          <w:trHeight w:val="26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2024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01.01.20</w:t>
            </w:r>
            <w:r>
              <w:rPr>
                <w:rFonts w:cs="Times New Roman"/>
                <w:kern w:val="0"/>
                <w:sz w:val="20"/>
                <w:szCs w:val="20"/>
                <w:lang w:val="en-US" w:bidi="ar-SA"/>
              </w:rPr>
              <w:t>2</w:t>
            </w: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3.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center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31.12.20</w:t>
            </w:r>
            <w:r>
              <w:rPr>
                <w:rFonts w:cs="Times New Roman"/>
                <w:kern w:val="0"/>
                <w:sz w:val="20"/>
                <w:szCs w:val="20"/>
                <w:lang w:val="en-US" w:bidi="ar-SA"/>
              </w:rPr>
              <w:t>2</w:t>
            </w: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446" w:hRule="atLeast"/>
        </w:trPr>
        <w:tc>
          <w:tcPr>
            <w:tcW w:w="10512" w:type="dxa"/>
            <w:gridSpan w:val="7"/>
            <w:tcBorders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 в многоквартирном доме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2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340" w:hanging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32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60" w:hanging="0"/>
              <w:jc w:val="left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4.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5.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6.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  <w:t>64971,84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7.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ремонту, в том числе: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  <w:t>575028,12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8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8.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содержание дома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содержание дома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9.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текущий ремонт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текущий ремонт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10.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услуги управления</w:t>
            </w:r>
          </w:p>
        </w:tc>
        <w:tc>
          <w:tcPr>
            <w:tcW w:w="93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управления</w:t>
            </w:r>
          </w:p>
        </w:tc>
        <w:tc>
          <w:tcPr>
            <w:tcW w:w="3789" w:type="dxa"/>
            <w:gridSpan w:val="3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11.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средств, в том числе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  <w:t>577602,69</w:t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12.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  <w:t>577602,69</w:t>
            </w:r>
          </w:p>
        </w:tc>
      </w:tr>
      <w:tr>
        <w:trPr>
          <w:trHeight w:val="248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13.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целевых взносов от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целевых взносов от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14.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субсидий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субсидий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15.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использования общего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 использования общего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16.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прочие поступления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Прочие поступления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17.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18.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19.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1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20.</w:t>
            </w:r>
          </w:p>
        </w:tc>
        <w:tc>
          <w:tcPr>
            <w:tcW w:w="272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402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  <w:t>66914,96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>
      <w:pPr>
        <w:pStyle w:val="Normal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3"/>
        <w:gridCol w:w="4033"/>
        <w:gridCol w:w="1293"/>
        <w:gridCol w:w="1338"/>
        <w:gridCol w:w="1598"/>
        <w:gridCol w:w="1058"/>
        <w:gridCol w:w="1260"/>
      </w:tblGrid>
      <w:tr>
        <w:trPr>
          <w:trHeight w:val="81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2 111,90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97 569,78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36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2 111,90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58 541,87</w:t>
            </w:r>
          </w:p>
        </w:tc>
      </w:tr>
      <w:tr>
        <w:trPr>
          <w:trHeight w:val="144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2 111,90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99 850,63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2 111,90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33 452,50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2 111,90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55 500,73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2 111,90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34 719,64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2 111,90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77 428,22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кровель (металлочерепица)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1288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1" w:hAnsi="Arial1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4 508,00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196,00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 всей  крыши  от  снега  и  наледи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53 356,87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53 356,87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7,2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4 605,12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2405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6 397,30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2578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5 774,72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дверных металлических  коробок (укрепление)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петель мет.двери (при замене 2 шт)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полотно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1 124,36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1 124,36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заполнений проемов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89,60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2 111,90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185 229,06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1217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5 233,10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3 984,16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11 569,75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2,1154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12 360,94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0,2131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23 907,98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837,74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Изоляция трубопроводов термофлекс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6 927,10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5 541,68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стальных трубопроводов на металлполимерные Д до 25 мм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1 458,46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11,6916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4 565,22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4 867,76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1 165,53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1 793,55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10 864,56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1 262,16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3 225,50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3 195,48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выключателей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256,17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256,17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1 222,16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2111,90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642 292,43</w:t>
            </w:r>
          </w:p>
        </w:tc>
      </w:tr>
    </w:tbl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05"/>
        <w:gridCol w:w="2845"/>
        <w:gridCol w:w="1003"/>
        <w:gridCol w:w="2869"/>
        <w:gridCol w:w="3518"/>
        <w:gridCol w:w="130"/>
      </w:tblGrid>
      <w:tr>
        <w:trPr>
          <w:trHeight w:val="266" w:hRule="atLeast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>
          <w:trHeight w:val="292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040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36"/>
        <w:gridCol w:w="2850"/>
        <w:gridCol w:w="1012"/>
        <w:gridCol w:w="2897"/>
        <w:gridCol w:w="3575"/>
      </w:tblGrid>
      <w:tr>
        <w:trPr>
          <w:trHeight w:val="266" w:hRule="atLeast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49368</w:t>
            </w:r>
          </w:p>
          <w:p>
            <w:pPr>
              <w:pStyle w:val="Style19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235204,64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250116,10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18902,60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235204,64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250116,10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18902,60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2863,00</w:t>
            </w:r>
          </w:p>
          <w:p>
            <w:pPr>
              <w:pStyle w:val="Style19"/>
              <w:widowControl w:val="false"/>
              <w:ind w:left="57" w:right="1304" w:hanging="0"/>
              <w:jc w:val="righ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61075,81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73677,46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-2352,90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61075,81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73677,46</w:t>
            </w:r>
          </w:p>
        </w:tc>
      </w:tr>
      <w:tr>
        <w:trPr>
          <w:trHeight w:val="902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-2352,90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7"/>
        <w:gridCol w:w="2901"/>
        <w:gridCol w:w="980"/>
        <w:gridCol w:w="2897"/>
        <w:gridCol w:w="3575"/>
      </w:tblGrid>
      <w:tr>
        <w:trPr>
          <w:trHeight w:val="300" w:hRule="atLeast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342,40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528714,72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563295,30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91115,28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528714,72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563295,30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91115,28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2 357,25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326335,21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322258,37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29894,42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326335,21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322258,37</w:t>
            </w:r>
          </w:p>
        </w:tc>
      </w:tr>
      <w:tr>
        <w:trPr>
          <w:trHeight w:val="812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29894,42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7"/>
        <w:gridCol w:w="2899"/>
        <w:gridCol w:w="981"/>
        <w:gridCol w:w="2900"/>
        <w:gridCol w:w="3561"/>
      </w:tblGrid>
      <w:tr>
        <w:trPr>
          <w:trHeight w:val="296" w:hRule="atLeast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9061</w:t>
            </w:r>
          </w:p>
          <w:p>
            <w:pPr>
              <w:pStyle w:val="Style19"/>
              <w:widowControl w:val="false"/>
              <w:ind w:left="57" w:right="1304" w:hanging="0"/>
              <w:jc w:val="righ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64060,91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64136,93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8605,49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64060,91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64136,93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8605,49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4791,55</w:t>
            </w:r>
          </w:p>
          <w:p>
            <w:pPr>
              <w:pStyle w:val="Style19"/>
              <w:widowControl w:val="false"/>
              <w:ind w:left="57" w:right="1304" w:hanging="0"/>
              <w:jc w:val="righ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225833,44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226742,52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31614,17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225833,44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226742,52</w:t>
            </w:r>
          </w:p>
        </w:tc>
      </w:tr>
      <w:tr>
        <w:trPr>
          <w:trHeight w:val="812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31614,17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7"/>
        <w:gridCol w:w="2901"/>
        <w:gridCol w:w="980"/>
        <w:gridCol w:w="2897"/>
        <w:gridCol w:w="3575"/>
      </w:tblGrid>
      <w:tr>
        <w:trPr>
          <w:trHeight w:val="266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25"/>
        <w:gridCol w:w="2898"/>
        <w:gridCol w:w="965"/>
        <w:gridCol w:w="2910"/>
        <w:gridCol w:w="3588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Arial1">
    <w:charset w:val="cc"/>
    <w:family w:val="roman"/>
    <w:pitch w:val="variable"/>
  </w:font>
  <w:font w:name="Arial3">
    <w:charset w:val="cc"/>
    <w:family w:val="roman"/>
    <w:pitch w:val="variable"/>
  </w:font>
  <w:font w:name="DejaVu Sans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dc5b9b"/>
    <w:pPr>
      <w:spacing w:before="0" w:after="120"/>
    </w:pPr>
    <w:rPr/>
  </w:style>
  <w:style w:type="paragraph" w:styleId="Style16">
    <w:name w:val="List"/>
    <w:basedOn w:val="Style15"/>
    <w:rsid w:val="00dc5b9b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11" w:customStyle="1">
    <w:name w:val="Заголовок1"/>
    <w:basedOn w:val="Normal"/>
    <w:next w:val="Style15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dc5b9b"/>
    <w:pPr>
      <w:suppressLineNumbers/>
    </w:pPr>
    <w:rPr>
      <w:rFonts w:cs="Lucida Sans"/>
    </w:rPr>
  </w:style>
  <w:style w:type="paragraph" w:styleId="13" w:customStyle="1">
    <w:name w:val="Название объекта1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604016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38B2-04BE-4449-9110-FF97A3A8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LibreOffice/7.5.5.2$Windows_X86_64 LibreOffice_project/ca8fe7424262805f223b9a2334bc7181abbcbf5e</Application>
  <AppVersion>15.0000</AppVersion>
  <Pages>11</Pages>
  <Words>2567</Words>
  <Characters>17332</Characters>
  <CharactersWithSpaces>18803</CharactersWithSpaces>
  <Paragraphs>1106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2020-02-27T08:58:00Z</dcterms:created>
  <dc:creator>Windows User</dc:creator>
  <dc:description/>
  <dc:language>ru-RU</dc:language>
  <cp:lastModifiedBy/>
  <cp:lastPrinted>2018-12-10T09:46:00Z</cp:lastPrinted>
  <dcterms:modified xsi:type="dcterms:W3CDTF">2024-03-15T10:51:49Z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