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spacing w:lineRule="exact" w:line="3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15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8"/>
        <w:gridCol w:w="601"/>
        <w:gridCol w:w="2297"/>
        <w:gridCol w:w="979"/>
        <w:gridCol w:w="2898"/>
        <w:gridCol w:w="3516"/>
        <w:gridCol w:w="40"/>
      </w:tblGrid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446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31" w:type="dxa"/>
            <w:gridSpan w:val="6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>
        <w:trPr>
          <w:trHeight w:val="260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7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111049,01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/>
              <w:t>740893,53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/>
              <w:t>733388,42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733388,42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7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1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/>
              <w:t>135312,46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19"/>
        <w:gridCol w:w="3882"/>
        <w:gridCol w:w="2899"/>
        <w:gridCol w:w="3519"/>
      </w:tblGrid>
      <w:tr>
        <w:trPr>
          <w:trHeight w:val="44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pageBreakBefore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>
        <w:trPr>
          <w:trHeight w:val="260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8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8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6"/>
        <w:gridCol w:w="4264"/>
        <w:gridCol w:w="1148"/>
        <w:gridCol w:w="1187"/>
        <w:gridCol w:w="1585"/>
        <w:gridCol w:w="1059"/>
        <w:gridCol w:w="1360"/>
      </w:tblGrid>
      <w:tr>
        <w:trPr>
          <w:trHeight w:val="81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№ </w:t>
            </w:r>
            <w:r>
              <w:rPr>
                <w:rFonts w:cs="Arial" w:ascii="Arial" w:hAnsi="Arial"/>
                <w:sz w:val="18"/>
                <w:szCs w:val="18"/>
              </w:rPr>
              <w:t>п/п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Объем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Периодичность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Отчет 2023,руб.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3,85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125 713,43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40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36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6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8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1.7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1.8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1.9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2,31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75 428,06</w:t>
            </w:r>
          </w:p>
        </w:tc>
      </w:tr>
      <w:tr>
        <w:trPr>
          <w:trHeight w:val="14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128 652,19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43 101,75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71 509,72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44 734,39</w:t>
            </w:r>
          </w:p>
        </w:tc>
      </w:tr>
      <w:tr>
        <w:trPr>
          <w:trHeight w:val="14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270 514,97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рулонной кровли отдельными местами промазкой мастикой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218,36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5 459,00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Промазка  фальцев и свищей в покрытии из кровельной стали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фальц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113,78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11 378,00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частей водосточных труб: прямые звенья с земли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1" w:hAnsi="Arial1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516,66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1 291,65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частей водосточных труб: колен с люлек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5 334,18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частей водосточных труб : отливов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626,13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626,13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частей водосточных труб : воронок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1 006,24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5 031,20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138,13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359,14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Перенавеска водосточных труб с люлек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м.труб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848,59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7 425,16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ухватов для водосточных труб в каменных стенах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325,52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651,04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Поджатие фальцев и гребней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26 865,00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Выправка желобов и свесов с поджатием фальцев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10 746,00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562,65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Выправка водосточных труб с люлек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701,80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4 035,35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 прямых звеньев водосточных труб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237,50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593,75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колен для водосточных труб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224,38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1 346,28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воронок для водосточных труб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470,69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2 353,45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отметов для водосточных труб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246,72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246,72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Постановка заплат на поверхности кровли  из наплавляемого материала (без нахлеста полотнищ)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461,63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4 616,30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Прочистка наружнего водостока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ч/час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284,14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4 840,50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212,80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полная крыши с автовышки от снега, наледи и сосулек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48 239,04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48 239,04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Очиска  по  периметру  крыши  с  автовышки  от  снега,  наледи  и  сосулек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2705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81 619,36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81 619,36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Гидроизоляция балконной плиты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461,63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6 924,45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штукатурки цоколей, прикрыльцевых тумб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1 219,50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1 463,40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штукатурки стен фасада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1 459,99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5 839,96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Добавлять к есн на последующий слой 20мм (штукатурка стен фасада)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2 038,22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9 783,46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штукатурки балконных плит с автовышки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3 094,02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5 569,24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Перетирка штукатурки фасадов гладких клеем ЕК с автовышки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557,76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3 346,56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Окраска цоколя, прикрыльцевых тумб, подступенков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114,95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137,94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458,97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163,80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5 054,00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2260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5 062,40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285,32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1 141,28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дверных металлических  коробок (укрепление)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647,94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1 295,88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156,80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220 920,26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тяги в дымовентканалах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4 532,20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п.м.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5 070,74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14 725,13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</w:t>
            </w:r>
            <w:r>
              <w:rPr>
                <w:rFonts w:cs="DejaVu Sans" w:ascii="DejaVu Sans" w:hAnsi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3,273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19 125,15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</w:t>
            </w:r>
            <w:r>
              <w:rPr>
                <w:rFonts w:cs="DejaVu Sans" w:ascii="DejaVu Sans" w:hAnsi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0,333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37 359,72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1 464,24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25 811,66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пружинного манометра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2 105,12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4 210,24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Установка термометра с оправой (без оправы)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1 317,85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2 635,70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Замена вентилей до 20мм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837,74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Замена стальных трубопроводов на металлполимерные Д до 25 мм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100мп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145 845,84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14 584,58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</w:t>
            </w:r>
            <w:r>
              <w:rPr>
                <w:rFonts w:cs="DejaVu Sans" w:ascii="DejaVu Sans" w:hAnsi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16,397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6 402,54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7 301,64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и обработка  показаний с ОДПУ ХВС.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21 396,84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FFFFFF"/>
                <w:sz w:val="18"/>
                <w:szCs w:val="18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1 060,56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220,76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452,68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1 165,53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137,97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13 192,68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лест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1 682,87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м.кв.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3 879,95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4 260,64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150,64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с. диодных ламп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117,77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2721,07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30,03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980 574,77</w:t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8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>
      <w:pPr>
        <w:pStyle w:val="Normal"/>
        <w:ind w:left="800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b"/>
        <w:tblW w:w="11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0"/>
        <w:gridCol w:w="3420"/>
        <w:gridCol w:w="1158"/>
        <w:gridCol w:w="2622"/>
        <w:gridCol w:w="2640"/>
      </w:tblGrid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N пп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</w:t>
              <w:br/>
              <w:t>измерения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1)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Электроснабжение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кВт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eastAsia="" w:cs="Calibri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80499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247" w:hanging="0"/>
              <w:jc w:val="center"/>
              <w:rPr>
                <w:color w:val="000000"/>
              </w:rPr>
            </w:pPr>
            <w:r>
              <w:rPr>
                <w:rFonts w:eastAsia="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350448,47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353441,03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55208,59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350448,47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353441,03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55208,59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2)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Холодное водоснабжение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/>
                <w:kern w:val="0"/>
                <w:sz w:val="20"/>
                <w:szCs w:val="20"/>
                <w:lang w:val="ru-RU" w:eastAsia="ru-RU" w:bidi="ar-SA"/>
              </w:rPr>
              <w:t>4501,00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531" w:hanging="0"/>
              <w:jc w:val="righ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119529,77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116450,79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21936,88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119529,77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116450,79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21936,88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tbl>
      <w:tblPr>
        <w:tblStyle w:val="ab"/>
        <w:tblW w:w="11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0"/>
        <w:gridCol w:w="3420"/>
        <w:gridCol w:w="1158"/>
        <w:gridCol w:w="2622"/>
        <w:gridCol w:w="2640"/>
      </w:tblGrid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pageBreakBefore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3)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Отопление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" w:cs="Arial" w:ascii="Arial" w:hAnsi="Arial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620,40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361" w:hanging="0"/>
              <w:jc w:val="center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1406970,93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1390606,06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259308,42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1406970,93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1390606,06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259308,42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4)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Горячее водоснабжение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" w:cs="Arial" w:ascii="Arial" w:hAnsi="Arial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3 338,07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417" w:hanging="0"/>
              <w:jc w:val="center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525721,62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522480,48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77092,68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525721,62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522480,48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77092,68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tbl>
      <w:tblPr>
        <w:tblStyle w:val="ab"/>
        <w:tblW w:w="11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0"/>
        <w:gridCol w:w="3420"/>
        <w:gridCol w:w="1158"/>
        <w:gridCol w:w="2622"/>
        <w:gridCol w:w="2640"/>
      </w:tblGrid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pageBreakBefore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5)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Газоснабжение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" w:cs="Arial"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14685</w:t>
            </w:r>
          </w:p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103874,50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102181,26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16213,96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103874,50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102181,26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16213,96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6)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Водоотведение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/>
                <w:kern w:val="0"/>
                <w:sz w:val="20"/>
                <w:szCs w:val="20"/>
                <w:lang w:val="ru-RU" w:eastAsia="ru-RU" w:bidi="ar-SA"/>
              </w:rPr>
              <w:t>7014,25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531" w:hanging="0"/>
              <w:jc w:val="righ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347452,08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338331,46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66364,24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347452,08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338331,46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66364,24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widowControl w:val="false"/>
        <w:rPr>
          <w:sz w:val="20"/>
          <w:szCs w:val="20"/>
        </w:rPr>
      </w:pPr>
      <w:r>
        <w:rPr>
          <w:rFonts w:eastAsia="Times New Roman"/>
        </w:rPr>
        <w:t>Информация о наличии претензий по качеству предоставленных коммунальных услуг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/>
      </w:r>
    </w:p>
    <w:sectPr>
      <w:type w:val="nextPage"/>
      <w:pgSz w:w="11906" w:h="16838"/>
      <w:pgMar w:left="403" w:right="403" w:gutter="0" w:header="0" w:top="567" w:footer="0" w:bottom="567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1">
    <w:charset w:val="cc"/>
    <w:family w:val="roman"/>
    <w:pitch w:val="variable"/>
  </w:font>
  <w:font w:name="Arial3">
    <w:charset w:val="cc"/>
    <w:family w:val="roman"/>
    <w:pitch w:val="variable"/>
  </w:font>
  <w:font w:name="DejaVu Sans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7e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e5f7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LibreOffice/7.5.5.2$Windows_X86_64 LibreOffice_project/ca8fe7424262805f223b9a2334bc7181abbcbf5e</Application>
  <AppVersion>15.0000</AppVersion>
  <Pages>11</Pages>
  <Words>2862</Words>
  <Characters>18947</Characters>
  <CharactersWithSpaces>20708</CharactersWithSpaces>
  <Paragraphs>1118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2021-03-23T07:46:00Z</dcterms:created>
  <dc:creator>Windows User</dc:creator>
  <dc:description/>
  <dc:language>ru-RU</dc:language>
  <cp:lastModifiedBy/>
  <dcterms:modified xsi:type="dcterms:W3CDTF">2024-03-15T11:18:53Z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